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24EF" w14:textId="505453F7" w:rsidR="00F07EF7" w:rsidRPr="002F4EF2" w:rsidRDefault="00F07EF7" w:rsidP="00883C98">
      <w:pPr>
        <w:widowControl w:val="0"/>
        <w:autoSpaceDE w:val="0"/>
        <w:autoSpaceDN w:val="0"/>
        <w:adjustRightInd w:val="0"/>
        <w:spacing w:after="0" w:line="826" w:lineRule="exact"/>
        <w:ind w:left="2657" w:right="-20"/>
        <w:rPr>
          <w:rFonts w:ascii="Raleway" w:hAnsi="Raleway" w:cs="Raleway"/>
          <w:b/>
          <w:color w:val="000000"/>
          <w:sz w:val="70"/>
          <w:szCs w:val="70"/>
        </w:rPr>
      </w:pPr>
      <w:bookmarkStart w:id="0" w:name="_GoBack"/>
      <w:bookmarkEnd w:id="0"/>
      <w:r>
        <w:rPr>
          <w:b/>
          <w:noProof/>
          <w:sz w:val="70"/>
          <w:szCs w:val="70"/>
        </w:rPr>
        <w:drawing>
          <wp:anchor distT="0" distB="0" distL="114300" distR="114300" simplePos="0" relativeHeight="251662336" behindDoc="1" locked="0" layoutInCell="1" allowOverlap="1" wp14:anchorId="2330A882" wp14:editId="1CBD4CE2">
            <wp:simplePos x="0" y="0"/>
            <wp:positionH relativeFrom="column">
              <wp:posOffset>275590</wp:posOffset>
            </wp:positionH>
            <wp:positionV relativeFrom="paragraph">
              <wp:posOffset>-259080</wp:posOffset>
            </wp:positionV>
            <wp:extent cx="1357630" cy="1238885"/>
            <wp:effectExtent l="0" t="0" r="0" b="0"/>
            <wp:wrapNone/>
            <wp:docPr id="28" name="Picture 28" descr="AMPS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PS 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3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EF2">
        <w:rPr>
          <w:rFonts w:ascii="Raleway" w:hAnsi="Raleway" w:cs="Raleway"/>
          <w:b/>
          <w:color w:val="03294A"/>
          <w:position w:val="1"/>
          <w:sz w:val="70"/>
          <w:szCs w:val="70"/>
        </w:rPr>
        <w:t>Al</w:t>
      </w:r>
      <w:r w:rsidRPr="002F4EF2">
        <w:rPr>
          <w:rFonts w:ascii="Raleway" w:hAnsi="Raleway" w:cs="Raleway"/>
          <w:b/>
          <w:color w:val="03294A"/>
          <w:spacing w:val="-23"/>
          <w:position w:val="1"/>
          <w:sz w:val="70"/>
          <w:szCs w:val="70"/>
        </w:rPr>
        <w:t xml:space="preserve"> </w:t>
      </w:r>
      <w:r w:rsidR="009C425B">
        <w:rPr>
          <w:rFonts w:ascii="Raleway" w:hAnsi="Raleway" w:cs="Raleway"/>
          <w:b/>
          <w:color w:val="03294A"/>
          <w:spacing w:val="-4"/>
          <w:position w:val="1"/>
          <w:sz w:val="70"/>
          <w:szCs w:val="70"/>
        </w:rPr>
        <w:t>Maha</w:t>
      </w:r>
      <w:r w:rsidRPr="002F4EF2">
        <w:rPr>
          <w:rFonts w:ascii="Raleway" w:hAnsi="Raleway" w:cs="Raleway"/>
          <w:b/>
          <w:color w:val="03294A"/>
          <w:position w:val="1"/>
          <w:sz w:val="70"/>
          <w:szCs w:val="70"/>
        </w:rPr>
        <w:t xml:space="preserve"> Pri</w:t>
      </w:r>
      <w:r w:rsidRPr="002F4EF2">
        <w:rPr>
          <w:rFonts w:ascii="Raleway" w:hAnsi="Raleway" w:cs="Raleway"/>
          <w:b/>
          <w:color w:val="03294A"/>
          <w:spacing w:val="-10"/>
          <w:position w:val="1"/>
          <w:sz w:val="70"/>
          <w:szCs w:val="70"/>
        </w:rPr>
        <w:t>v</w:t>
      </w:r>
      <w:r w:rsidRPr="002F4EF2">
        <w:rPr>
          <w:rFonts w:ascii="Raleway" w:hAnsi="Raleway" w:cs="Raleway"/>
          <w:b/>
          <w:color w:val="03294A"/>
          <w:spacing w:val="-3"/>
          <w:position w:val="1"/>
          <w:sz w:val="70"/>
          <w:szCs w:val="70"/>
        </w:rPr>
        <w:t>a</w:t>
      </w:r>
      <w:r w:rsidRPr="002F4EF2">
        <w:rPr>
          <w:rFonts w:ascii="Raleway" w:hAnsi="Raleway" w:cs="Raleway"/>
          <w:b/>
          <w:color w:val="03294A"/>
          <w:spacing w:val="-10"/>
          <w:position w:val="1"/>
          <w:sz w:val="70"/>
          <w:szCs w:val="70"/>
        </w:rPr>
        <w:t>t</w:t>
      </w:r>
      <w:r w:rsidRPr="002F4EF2">
        <w:rPr>
          <w:rFonts w:ascii="Raleway" w:hAnsi="Raleway" w:cs="Raleway"/>
          <w:b/>
          <w:color w:val="03294A"/>
          <w:position w:val="1"/>
          <w:sz w:val="70"/>
          <w:szCs w:val="70"/>
        </w:rPr>
        <w:t>e School</w:t>
      </w:r>
    </w:p>
    <w:p w14:paraId="6D7DD3D6" w14:textId="77777777" w:rsidR="00F07EF7" w:rsidRPr="009202F6" w:rsidRDefault="00F07EF7" w:rsidP="00F07EF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44B8295" w14:textId="77777777" w:rsidR="001614FF" w:rsidRPr="001614FF" w:rsidRDefault="00F07EF7" w:rsidP="001614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02F6">
        <w:rPr>
          <w:rFonts w:ascii="Arial" w:hAnsi="Arial" w:cs="Arial"/>
          <w:b/>
          <w:bCs/>
          <w:sz w:val="16"/>
          <w:szCs w:val="16"/>
        </w:rPr>
        <w:br/>
      </w:r>
      <w:bookmarkStart w:id="1" w:name="_Hlk43806223"/>
      <w:r w:rsidR="001614FF" w:rsidRPr="001614FF">
        <w:rPr>
          <w:rFonts w:ascii="Arial" w:hAnsi="Arial" w:cs="Arial"/>
          <w:b/>
          <w:bCs/>
          <w:sz w:val="24"/>
          <w:szCs w:val="24"/>
        </w:rPr>
        <w:t xml:space="preserve">Terms and Conditions for Academic Year 2020 – 2021 </w:t>
      </w:r>
    </w:p>
    <w:p w14:paraId="5A29FAF0" w14:textId="6DF1EFA9" w:rsidR="001614FF" w:rsidRPr="00443704" w:rsidRDefault="001614FF" w:rsidP="001614FF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/>
      </w:r>
      <w:r w:rsidRPr="00443704">
        <w:rPr>
          <w:rFonts w:ascii="Arial" w:hAnsi="Arial" w:cs="Arial"/>
          <w:b/>
          <w:bCs/>
          <w:sz w:val="21"/>
          <w:szCs w:val="21"/>
        </w:rPr>
        <w:t>School Fees</w:t>
      </w:r>
      <w:r>
        <w:rPr>
          <w:rFonts w:ascii="Arial" w:hAnsi="Arial" w:cs="Arial"/>
          <w:b/>
          <w:bCs/>
          <w:sz w:val="21"/>
          <w:szCs w:val="21"/>
        </w:rPr>
        <w:t>:</w:t>
      </w:r>
      <w:r w:rsidRPr="00443704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R</w:t>
      </w:r>
      <w:r w:rsidRPr="00443704">
        <w:rPr>
          <w:rFonts w:ascii="Arial" w:hAnsi="Arial" w:cs="Arial"/>
          <w:b/>
          <w:bCs/>
          <w:sz w:val="21"/>
          <w:szCs w:val="21"/>
        </w:rPr>
        <w:t>egulations</w:t>
      </w:r>
    </w:p>
    <w:p w14:paraId="178CBFA7" w14:textId="77777777" w:rsidR="001614FF" w:rsidRDefault="001614FF" w:rsidP="009202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443704">
        <w:rPr>
          <w:rFonts w:ascii="Arial" w:hAnsi="Arial" w:cs="Arial"/>
          <w:sz w:val="21"/>
          <w:szCs w:val="21"/>
        </w:rPr>
        <w:t xml:space="preserve">All fees must be paid in full before the start of the first term in the new academic year. </w:t>
      </w:r>
      <w:r>
        <w:rPr>
          <w:rFonts w:ascii="Arial" w:hAnsi="Arial" w:cs="Arial"/>
          <w:sz w:val="21"/>
          <w:szCs w:val="21"/>
        </w:rPr>
        <w:br/>
      </w:r>
    </w:p>
    <w:p w14:paraId="0DA123D1" w14:textId="77777777" w:rsidR="001614FF" w:rsidRPr="00624E8C" w:rsidRDefault="001614FF" w:rsidP="001614FF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4E8C">
        <w:rPr>
          <w:rFonts w:ascii="Arial" w:hAnsi="Arial" w:cs="Arial"/>
          <w:sz w:val="20"/>
          <w:szCs w:val="20"/>
        </w:rPr>
        <w:t>School Tuition Fees for 2020 – 2021</w:t>
      </w:r>
    </w:p>
    <w:tbl>
      <w:tblPr>
        <w:tblStyle w:val="TableGrid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2551"/>
        <w:gridCol w:w="2835"/>
        <w:gridCol w:w="2410"/>
      </w:tblGrid>
      <w:tr w:rsidR="00442AEE" w:rsidRPr="001614FF" w14:paraId="555AC956" w14:textId="77777777" w:rsidTr="00696EFC">
        <w:tc>
          <w:tcPr>
            <w:tcW w:w="850" w:type="dxa"/>
          </w:tcPr>
          <w:p w14:paraId="79E7BA9A" w14:textId="77777777" w:rsidR="00442AEE" w:rsidRPr="001614FF" w:rsidRDefault="00442AEE" w:rsidP="00F20094">
            <w:pPr>
              <w:pStyle w:val="NormalWeb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276" w:type="dxa"/>
          </w:tcPr>
          <w:p w14:paraId="49EE9032" w14:textId="77777777" w:rsidR="00442AEE" w:rsidRPr="001614FF" w:rsidRDefault="00442AEE" w:rsidP="00712741">
            <w:pPr>
              <w:pStyle w:val="NormalWeb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>Annual Tuition Fee</w:t>
            </w:r>
          </w:p>
        </w:tc>
        <w:tc>
          <w:tcPr>
            <w:tcW w:w="2551" w:type="dxa"/>
          </w:tcPr>
          <w:p w14:paraId="601E9784" w14:textId="34E94B66" w:rsidR="00442AEE" w:rsidRPr="001614FF" w:rsidRDefault="00712741" w:rsidP="00712741">
            <w:pPr>
              <w:pStyle w:val="NormalWeb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Two instalments plan</w:t>
            </w:r>
            <w:r w:rsidR="00696EFC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442AEE" w:rsidRPr="001614FF">
              <w:rPr>
                <w:rFonts w:ascii="Arial" w:hAnsi="Arial"/>
                <w:b/>
                <w:bCs/>
                <w:sz w:val="20"/>
                <w:szCs w:val="20"/>
              </w:rPr>
              <w:t xml:space="preserve"> September </w:t>
            </w:r>
            <w:r w:rsidR="00442AEE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  <w:r w:rsidR="00442AEE" w:rsidRPr="00712741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696EFC">
              <w:rPr>
                <w:rFonts w:ascii="Arial" w:hAnsi="Arial"/>
                <w:b/>
                <w:bCs/>
                <w:sz w:val="20"/>
                <w:szCs w:val="20"/>
              </w:rPr>
              <w:t xml:space="preserve">     J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anuary 1</w:t>
            </w:r>
            <w:r w:rsidRPr="00712741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96EFC">
              <w:rPr>
                <w:rFonts w:ascii="Arial" w:hAnsi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835" w:type="dxa"/>
          </w:tcPr>
          <w:p w14:paraId="10A79C7D" w14:textId="40129942" w:rsidR="00442AEE" w:rsidRPr="001614FF" w:rsidRDefault="00712741" w:rsidP="00712741">
            <w:pPr>
              <w:pStyle w:val="NormalWeb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Termly instalment plan: September 9</w:t>
            </w:r>
            <w:r w:rsidRPr="00712741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r w:rsidR="00696EFC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January 1</w:t>
            </w:r>
            <w:r w:rsidRPr="00712741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st</w:t>
            </w:r>
            <w:r w:rsidR="00696EFC">
              <w:rPr>
                <w:rFonts w:ascii="Arial" w:hAnsi="Arial"/>
                <w:b/>
                <w:bCs/>
                <w:sz w:val="20"/>
                <w:szCs w:val="20"/>
              </w:rPr>
              <w:t xml:space="preserve"> 2021,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April 1</w:t>
            </w:r>
            <w:r w:rsidRPr="00696EFC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st</w:t>
            </w:r>
            <w:r w:rsidR="00696EF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092B32B7" w14:textId="5F4FB374" w:rsidR="00442AEE" w:rsidRPr="001614FF" w:rsidRDefault="00442AEE" w:rsidP="00712741">
            <w:pPr>
              <w:pStyle w:val="NormalWeb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6 </w:t>
            </w:r>
            <w:r w:rsidR="00696EFC">
              <w:rPr>
                <w:rFonts w:ascii="Arial" w:hAnsi="Arial"/>
                <w:b/>
                <w:bCs/>
                <w:sz w:val="20"/>
                <w:szCs w:val="20"/>
              </w:rPr>
              <w:t>instalments plan</w:t>
            </w: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</w:t>
            </w: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>Sept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9th</w:t>
            </w: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Feb 1st</w:t>
            </w: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442AEE" w:rsidRPr="00624E8C" w14:paraId="282A3CC6" w14:textId="77777777" w:rsidTr="00696EFC">
        <w:tc>
          <w:tcPr>
            <w:tcW w:w="850" w:type="dxa"/>
          </w:tcPr>
          <w:p w14:paraId="16EABA84" w14:textId="77777777" w:rsidR="00442AEE" w:rsidRPr="001614FF" w:rsidRDefault="00442AEE" w:rsidP="00F20094">
            <w:pPr>
              <w:pStyle w:val="NormalWeb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>KG1</w:t>
            </w:r>
          </w:p>
        </w:tc>
        <w:tc>
          <w:tcPr>
            <w:tcW w:w="1276" w:type="dxa"/>
          </w:tcPr>
          <w:p w14:paraId="46021E5D" w14:textId="02E1FA26" w:rsidR="00442AEE" w:rsidRPr="00624E8C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624E8C">
              <w:rPr>
                <w:rFonts w:ascii="Arial" w:hAnsi="Arial"/>
                <w:sz w:val="20"/>
                <w:szCs w:val="20"/>
              </w:rPr>
              <w:t>2200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2551" w:type="dxa"/>
          </w:tcPr>
          <w:p w14:paraId="5A53A967" w14:textId="5182C0ED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106820">
              <w:rPr>
                <w:rFonts w:ascii="Arial" w:hAnsi="Arial"/>
                <w:sz w:val="20"/>
                <w:szCs w:val="20"/>
              </w:rPr>
              <w:t>1</w:t>
            </w:r>
            <w:r w:rsidR="00712741">
              <w:rPr>
                <w:rFonts w:ascii="Arial" w:hAnsi="Arial"/>
                <w:sz w:val="20"/>
                <w:szCs w:val="20"/>
              </w:rPr>
              <w:t>1</w:t>
            </w:r>
            <w:r w:rsidRPr="00106820">
              <w:rPr>
                <w:rFonts w:ascii="Arial" w:hAnsi="Arial"/>
                <w:sz w:val="20"/>
                <w:szCs w:val="20"/>
              </w:rPr>
              <w:t>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2835" w:type="dxa"/>
          </w:tcPr>
          <w:p w14:paraId="5696C988" w14:textId="52FD2EEE" w:rsidR="00442AEE" w:rsidRPr="00106820" w:rsidRDefault="00712741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733</w:t>
            </w:r>
            <w:r w:rsidR="00442AEE"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2410" w:type="dxa"/>
          </w:tcPr>
          <w:p w14:paraId="71BE3C92" w14:textId="3019A9D0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367 OMR</w:t>
            </w:r>
          </w:p>
        </w:tc>
      </w:tr>
      <w:tr w:rsidR="00442AEE" w:rsidRPr="00624E8C" w14:paraId="1BBC7C70" w14:textId="77777777" w:rsidTr="00696EFC">
        <w:tc>
          <w:tcPr>
            <w:tcW w:w="850" w:type="dxa"/>
          </w:tcPr>
          <w:p w14:paraId="776A3AC3" w14:textId="77777777" w:rsidR="00442AEE" w:rsidRPr="001614FF" w:rsidRDefault="00442AEE" w:rsidP="00F20094">
            <w:pPr>
              <w:pStyle w:val="NormalWeb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>KG2</w:t>
            </w:r>
          </w:p>
        </w:tc>
        <w:tc>
          <w:tcPr>
            <w:tcW w:w="1276" w:type="dxa"/>
          </w:tcPr>
          <w:p w14:paraId="415D4BF1" w14:textId="5D251BC4" w:rsidR="00442AEE" w:rsidRPr="00624E8C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624E8C">
              <w:rPr>
                <w:rFonts w:ascii="Arial" w:hAnsi="Arial"/>
                <w:sz w:val="20"/>
                <w:szCs w:val="20"/>
              </w:rPr>
              <w:t>2400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2551" w:type="dxa"/>
          </w:tcPr>
          <w:p w14:paraId="33373531" w14:textId="759D5725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106820">
              <w:rPr>
                <w:rFonts w:ascii="Arial" w:hAnsi="Arial"/>
                <w:sz w:val="20"/>
                <w:szCs w:val="20"/>
              </w:rPr>
              <w:t>1</w:t>
            </w:r>
            <w:r w:rsidR="00712741">
              <w:rPr>
                <w:rFonts w:ascii="Arial" w:hAnsi="Arial"/>
                <w:sz w:val="20"/>
                <w:szCs w:val="20"/>
              </w:rPr>
              <w:t>2</w:t>
            </w:r>
            <w:r w:rsidRPr="00106820">
              <w:rPr>
                <w:rFonts w:ascii="Arial" w:hAnsi="Arial"/>
                <w:sz w:val="20"/>
                <w:szCs w:val="20"/>
              </w:rPr>
              <w:t>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2835" w:type="dxa"/>
          </w:tcPr>
          <w:p w14:paraId="68006E11" w14:textId="1696676C" w:rsidR="00442AEE" w:rsidRPr="00106820" w:rsidRDefault="00712741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  <w:r w:rsidR="00442AEE"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2410" w:type="dxa"/>
          </w:tcPr>
          <w:p w14:paraId="738B7723" w14:textId="62712D8F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 OMR</w:t>
            </w:r>
          </w:p>
        </w:tc>
      </w:tr>
      <w:tr w:rsidR="00442AEE" w:rsidRPr="00624E8C" w14:paraId="67C7C6BA" w14:textId="77777777" w:rsidTr="00696EFC">
        <w:tc>
          <w:tcPr>
            <w:tcW w:w="850" w:type="dxa"/>
          </w:tcPr>
          <w:p w14:paraId="28FE9115" w14:textId="77777777" w:rsidR="00442AEE" w:rsidRPr="001614FF" w:rsidRDefault="00442AEE" w:rsidP="00F20094">
            <w:pPr>
              <w:pStyle w:val="NormalWeb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276" w:type="dxa"/>
          </w:tcPr>
          <w:p w14:paraId="4910958A" w14:textId="4947E327" w:rsidR="00442AEE" w:rsidRPr="00624E8C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624E8C">
              <w:rPr>
                <w:rFonts w:ascii="Arial" w:hAnsi="Arial"/>
                <w:sz w:val="20"/>
                <w:szCs w:val="20"/>
              </w:rPr>
              <w:t>2600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2551" w:type="dxa"/>
          </w:tcPr>
          <w:p w14:paraId="1C45B0D8" w14:textId="197F79C3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106820">
              <w:rPr>
                <w:rFonts w:ascii="Arial" w:hAnsi="Arial"/>
                <w:sz w:val="20"/>
                <w:szCs w:val="20"/>
              </w:rPr>
              <w:t>1</w:t>
            </w:r>
            <w:r w:rsidR="00712741">
              <w:rPr>
                <w:rFonts w:ascii="Arial" w:hAnsi="Arial"/>
                <w:sz w:val="20"/>
                <w:szCs w:val="20"/>
              </w:rPr>
              <w:t>3</w:t>
            </w:r>
            <w:r w:rsidRPr="00106820">
              <w:rPr>
                <w:rFonts w:ascii="Arial" w:hAnsi="Arial"/>
                <w:sz w:val="20"/>
                <w:szCs w:val="20"/>
              </w:rPr>
              <w:t>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2835" w:type="dxa"/>
          </w:tcPr>
          <w:p w14:paraId="389DFC8D" w14:textId="20159041" w:rsidR="00442AEE" w:rsidRPr="00106820" w:rsidRDefault="00712741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867</w:t>
            </w:r>
            <w:r w:rsidR="00442AEE"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2410" w:type="dxa"/>
          </w:tcPr>
          <w:p w14:paraId="1FEE7BE6" w14:textId="30CEEDA0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</w:t>
            </w:r>
            <w:r w:rsidR="00696EFC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</w:tr>
      <w:tr w:rsidR="00442AEE" w:rsidRPr="00624E8C" w14:paraId="3DCB7364" w14:textId="77777777" w:rsidTr="00696EFC">
        <w:tc>
          <w:tcPr>
            <w:tcW w:w="850" w:type="dxa"/>
          </w:tcPr>
          <w:p w14:paraId="761FB0B3" w14:textId="77777777" w:rsidR="00442AEE" w:rsidRPr="001614FF" w:rsidRDefault="00442AEE" w:rsidP="00F20094">
            <w:pPr>
              <w:pStyle w:val="NormalWeb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276" w:type="dxa"/>
          </w:tcPr>
          <w:p w14:paraId="38CAA8C8" w14:textId="590A7771" w:rsidR="00442AEE" w:rsidRPr="00624E8C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624E8C">
              <w:rPr>
                <w:rFonts w:ascii="Arial" w:hAnsi="Arial"/>
                <w:sz w:val="20"/>
                <w:szCs w:val="20"/>
              </w:rPr>
              <w:t>2600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2551" w:type="dxa"/>
          </w:tcPr>
          <w:p w14:paraId="51B9CDE8" w14:textId="1F6F9C6E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106820">
              <w:rPr>
                <w:rFonts w:ascii="Arial" w:hAnsi="Arial"/>
                <w:sz w:val="20"/>
                <w:szCs w:val="20"/>
              </w:rPr>
              <w:t>1</w:t>
            </w:r>
            <w:r w:rsidR="00712741">
              <w:rPr>
                <w:rFonts w:ascii="Arial" w:hAnsi="Arial"/>
                <w:sz w:val="20"/>
                <w:szCs w:val="20"/>
              </w:rPr>
              <w:t>3</w:t>
            </w:r>
            <w:r w:rsidRPr="00106820">
              <w:rPr>
                <w:rFonts w:ascii="Arial" w:hAnsi="Arial"/>
                <w:sz w:val="20"/>
                <w:szCs w:val="20"/>
              </w:rPr>
              <w:t>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2835" w:type="dxa"/>
          </w:tcPr>
          <w:p w14:paraId="601D2189" w14:textId="2918393A" w:rsidR="00442AEE" w:rsidRPr="00106820" w:rsidRDefault="00712741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867</w:t>
            </w:r>
            <w:r w:rsidR="00442AEE"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2410" w:type="dxa"/>
          </w:tcPr>
          <w:p w14:paraId="589C5FF5" w14:textId="581F1F5E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</w:t>
            </w:r>
            <w:r w:rsidR="00696EFC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</w:tr>
      <w:tr w:rsidR="00442AEE" w:rsidRPr="00624E8C" w14:paraId="646FC3AE" w14:textId="77777777" w:rsidTr="00696EFC">
        <w:tc>
          <w:tcPr>
            <w:tcW w:w="850" w:type="dxa"/>
          </w:tcPr>
          <w:p w14:paraId="4116984D" w14:textId="77777777" w:rsidR="00442AEE" w:rsidRPr="001614FF" w:rsidRDefault="00442AEE" w:rsidP="00F20094">
            <w:pPr>
              <w:pStyle w:val="NormalWeb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276" w:type="dxa"/>
          </w:tcPr>
          <w:p w14:paraId="1ADD8BB4" w14:textId="3A9D836C" w:rsidR="00442AEE" w:rsidRPr="00624E8C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2800 OMR</w:t>
            </w:r>
          </w:p>
        </w:tc>
        <w:tc>
          <w:tcPr>
            <w:tcW w:w="2551" w:type="dxa"/>
          </w:tcPr>
          <w:p w14:paraId="4045480A" w14:textId="44D7EE55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106820">
              <w:rPr>
                <w:rFonts w:ascii="Arial" w:hAnsi="Arial"/>
                <w:sz w:val="20"/>
                <w:szCs w:val="20"/>
              </w:rPr>
              <w:t>1</w:t>
            </w:r>
            <w:r w:rsidR="00712741">
              <w:rPr>
                <w:rFonts w:ascii="Arial" w:hAnsi="Arial"/>
                <w:sz w:val="20"/>
                <w:szCs w:val="20"/>
              </w:rPr>
              <w:t>4</w:t>
            </w:r>
            <w:r w:rsidRPr="00106820">
              <w:rPr>
                <w:rFonts w:ascii="Arial" w:hAnsi="Arial"/>
                <w:sz w:val="20"/>
                <w:szCs w:val="20"/>
              </w:rPr>
              <w:t>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2835" w:type="dxa"/>
          </w:tcPr>
          <w:p w14:paraId="3CE984B2" w14:textId="3A834BDC" w:rsidR="00442AEE" w:rsidRPr="00106820" w:rsidRDefault="00712741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933</w:t>
            </w:r>
            <w:r w:rsidR="00442AEE"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2410" w:type="dxa"/>
          </w:tcPr>
          <w:p w14:paraId="65946B11" w14:textId="005CE2FA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</w:t>
            </w:r>
            <w:r w:rsidR="00696EFC">
              <w:rPr>
                <w:rFonts w:ascii="Arial" w:hAnsi="Arial"/>
                <w:sz w:val="20"/>
                <w:szCs w:val="20"/>
              </w:rPr>
              <w:t xml:space="preserve">7 </w:t>
            </w:r>
            <w:r>
              <w:rPr>
                <w:rFonts w:ascii="Arial" w:hAnsi="Arial"/>
                <w:sz w:val="20"/>
                <w:szCs w:val="20"/>
              </w:rPr>
              <w:t>OMR</w:t>
            </w:r>
          </w:p>
        </w:tc>
      </w:tr>
    </w:tbl>
    <w:p w14:paraId="2EB2DE5A" w14:textId="7E3588B1" w:rsidR="001614FF" w:rsidRPr="00624E8C" w:rsidRDefault="001614FF" w:rsidP="001614FF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4E8C">
        <w:rPr>
          <w:rFonts w:ascii="Arial" w:hAnsi="Arial" w:cs="Arial"/>
          <w:sz w:val="20"/>
          <w:szCs w:val="20"/>
          <w:lang w:val="en-GB"/>
        </w:rPr>
        <w:t xml:space="preserve">The Annual Fee must be paid before </w:t>
      </w:r>
      <w:r w:rsidR="00442AEE">
        <w:rPr>
          <w:rFonts w:ascii="Arial" w:hAnsi="Arial" w:cs="Arial"/>
          <w:sz w:val="20"/>
          <w:szCs w:val="20"/>
          <w:lang w:val="en-GB"/>
        </w:rPr>
        <w:t>September 9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th prior to the commencement of the academic year. </w:t>
      </w:r>
      <w:r w:rsidR="00696EFC">
        <w:rPr>
          <w:rFonts w:ascii="Arial" w:hAnsi="Arial" w:cs="Arial"/>
          <w:sz w:val="20"/>
          <w:szCs w:val="20"/>
          <w:lang w:val="en-GB"/>
        </w:rPr>
        <w:t>Four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 payment plans are available:</w:t>
      </w:r>
    </w:p>
    <w:p w14:paraId="342C43B4" w14:textId="7AD76FE2" w:rsidR="001614FF" w:rsidRPr="009202F6" w:rsidRDefault="001614FF" w:rsidP="009202F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624E8C">
        <w:rPr>
          <w:rFonts w:ascii="Arial" w:hAnsi="Arial" w:cs="Arial"/>
          <w:sz w:val="20"/>
          <w:szCs w:val="20"/>
          <w:lang w:val="en-GB"/>
        </w:rPr>
        <w:t>Full annual payment by cash, cheque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 electronic transfer</w:t>
      </w:r>
      <w:r>
        <w:rPr>
          <w:rFonts w:ascii="Arial" w:hAnsi="Arial" w:cs="Arial"/>
          <w:sz w:val="20"/>
          <w:szCs w:val="20"/>
          <w:lang w:val="en-GB"/>
        </w:rPr>
        <w:t xml:space="preserve"> via </w:t>
      </w:r>
      <w:r w:rsidRPr="00106820">
        <w:rPr>
          <w:rFonts w:ascii="Arial" w:hAnsi="Arial" w:cs="Arial"/>
          <w:sz w:val="20"/>
          <w:szCs w:val="20"/>
          <w:lang w:val="en-GB"/>
        </w:rPr>
        <w:t>debit/credit card</w:t>
      </w:r>
      <w:r w:rsidRPr="00106820">
        <w:rPr>
          <w:rFonts w:ascii="Arial" w:hAnsi="Arial" w:cs="Arial"/>
          <w:color w:val="FF0000"/>
          <w:sz w:val="20"/>
          <w:szCs w:val="20"/>
          <w:lang w:val="en-GB"/>
        </w:rPr>
        <w:t>*</w:t>
      </w:r>
      <w:r w:rsidRPr="00106820">
        <w:rPr>
          <w:rFonts w:ascii="Arial" w:hAnsi="Arial" w:cs="Arial"/>
          <w:sz w:val="20"/>
          <w:szCs w:val="20"/>
          <w:lang w:val="en-GB"/>
        </w:rPr>
        <w:t xml:space="preserve"> 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before </w:t>
      </w:r>
      <w:r w:rsidR="00442AEE">
        <w:rPr>
          <w:rFonts w:ascii="Arial" w:hAnsi="Arial" w:cs="Arial"/>
          <w:sz w:val="20"/>
          <w:szCs w:val="20"/>
          <w:lang w:val="en-GB"/>
        </w:rPr>
        <w:t>September 9th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 prior to the commencement of the academic year will qualify for a 5% discount.</w:t>
      </w:r>
    </w:p>
    <w:p w14:paraId="03CEE2D5" w14:textId="19742836" w:rsidR="001614FF" w:rsidRPr="009202F6" w:rsidRDefault="001614FF" w:rsidP="009202F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 sibling discount of 5% from the annual tuition fee is applicable for the youngest child. </w:t>
      </w:r>
    </w:p>
    <w:p w14:paraId="72C733BA" w14:textId="5AE4F7F0" w:rsidR="001614FF" w:rsidRDefault="001614FF" w:rsidP="009202F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624E8C">
        <w:rPr>
          <w:rFonts w:ascii="Arial" w:hAnsi="Arial" w:cs="Arial"/>
          <w:sz w:val="20"/>
          <w:szCs w:val="20"/>
          <w:lang w:val="en-GB"/>
        </w:rPr>
        <w:t xml:space="preserve">Two payments by depositing two post-dated cheques before </w:t>
      </w:r>
      <w:r w:rsidR="00442AEE">
        <w:rPr>
          <w:rFonts w:ascii="Arial" w:hAnsi="Arial" w:cs="Arial"/>
          <w:sz w:val="20"/>
          <w:szCs w:val="20"/>
          <w:lang w:val="en-GB"/>
        </w:rPr>
        <w:t>September 9th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 prior to the commencement of the academic year, in line with the </w:t>
      </w:r>
      <w:r w:rsidR="00696EFC">
        <w:rPr>
          <w:rFonts w:ascii="Arial" w:hAnsi="Arial" w:cs="Arial"/>
          <w:sz w:val="20"/>
          <w:szCs w:val="20"/>
          <w:lang w:val="en-GB"/>
        </w:rPr>
        <w:t>instalment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 payment figure published above. All cheques must be dated </w:t>
      </w:r>
      <w:r w:rsidR="00442AEE">
        <w:rPr>
          <w:rFonts w:ascii="Arial" w:hAnsi="Arial" w:cs="Arial"/>
          <w:sz w:val="20"/>
          <w:szCs w:val="20"/>
          <w:lang w:val="en-GB"/>
        </w:rPr>
        <w:t>as indicated above</w:t>
      </w:r>
      <w:r w:rsidRPr="00624E8C">
        <w:rPr>
          <w:rFonts w:ascii="Arial" w:hAnsi="Arial" w:cs="Arial"/>
          <w:sz w:val="20"/>
          <w:szCs w:val="20"/>
          <w:lang w:val="en-GB"/>
        </w:rPr>
        <w:t>.</w:t>
      </w:r>
    </w:p>
    <w:p w14:paraId="69B8F4AA" w14:textId="2A276A57" w:rsidR="00696EFC" w:rsidRPr="00696EFC" w:rsidRDefault="00696EFC" w:rsidP="00696EF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Termly instalment plan by depositing three post-dated cheques 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before </w:t>
      </w:r>
      <w:r>
        <w:rPr>
          <w:rFonts w:ascii="Arial" w:hAnsi="Arial" w:cs="Arial"/>
          <w:sz w:val="20"/>
          <w:szCs w:val="20"/>
          <w:lang w:val="en-GB"/>
        </w:rPr>
        <w:t>September 9th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 prior to the commencement of the academic year, in line with the </w:t>
      </w:r>
      <w:r>
        <w:rPr>
          <w:rFonts w:ascii="Arial" w:hAnsi="Arial" w:cs="Arial"/>
          <w:sz w:val="20"/>
          <w:szCs w:val="20"/>
          <w:lang w:val="en-GB"/>
        </w:rPr>
        <w:t xml:space="preserve">instalment 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payment figure published above. All cheques must be dated </w:t>
      </w:r>
      <w:r>
        <w:rPr>
          <w:rFonts w:ascii="Arial" w:hAnsi="Arial" w:cs="Arial"/>
          <w:sz w:val="20"/>
          <w:szCs w:val="20"/>
          <w:lang w:val="en-GB"/>
        </w:rPr>
        <w:t>as indicated above</w:t>
      </w:r>
      <w:r w:rsidRPr="00624E8C">
        <w:rPr>
          <w:rFonts w:ascii="Arial" w:hAnsi="Arial" w:cs="Arial"/>
          <w:sz w:val="20"/>
          <w:szCs w:val="20"/>
          <w:lang w:val="en-GB"/>
        </w:rPr>
        <w:t>.</w:t>
      </w:r>
    </w:p>
    <w:p w14:paraId="44C71BB7" w14:textId="05310CD3" w:rsidR="001614FF" w:rsidRPr="009202F6" w:rsidRDefault="001614FF" w:rsidP="009202F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Six</w:t>
      </w:r>
      <w:r w:rsidR="009202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monthly </w:t>
      </w:r>
      <w:r w:rsidRPr="00106820">
        <w:rPr>
          <w:rFonts w:ascii="Arial" w:hAnsi="Arial" w:cs="Arial"/>
          <w:sz w:val="20"/>
          <w:szCs w:val="20"/>
          <w:lang w:val="en-GB"/>
        </w:rPr>
        <w:t xml:space="preserve">instalment payments </w:t>
      </w:r>
      <w:r w:rsidRPr="00624E8C">
        <w:rPr>
          <w:rFonts w:ascii="Arial" w:hAnsi="Arial" w:cs="Arial"/>
          <w:sz w:val="20"/>
          <w:szCs w:val="20"/>
          <w:lang w:val="en-GB"/>
        </w:rPr>
        <w:t>by depositing six post-dated cheques before</w:t>
      </w:r>
      <w:r w:rsidR="00442AEE">
        <w:rPr>
          <w:rFonts w:ascii="Arial" w:hAnsi="Arial" w:cs="Arial"/>
          <w:sz w:val="20"/>
          <w:szCs w:val="20"/>
          <w:lang w:val="en-GB"/>
        </w:rPr>
        <w:t xml:space="preserve"> September 9th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 prior to the commencement of the academic year, in line with the </w:t>
      </w:r>
      <w:r w:rsidR="00696EFC">
        <w:rPr>
          <w:rFonts w:ascii="Arial" w:hAnsi="Arial" w:cs="Arial"/>
          <w:sz w:val="20"/>
          <w:szCs w:val="20"/>
          <w:lang w:val="en-GB"/>
        </w:rPr>
        <w:t>instalment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 payment figure published above. All cheques must be dated as follows: September </w:t>
      </w:r>
      <w:r w:rsidR="00442AEE">
        <w:rPr>
          <w:rFonts w:ascii="Arial" w:hAnsi="Arial" w:cs="Arial"/>
          <w:sz w:val="20"/>
          <w:szCs w:val="20"/>
          <w:lang w:val="en-GB"/>
        </w:rPr>
        <w:t>9</w:t>
      </w:r>
      <w:r w:rsidR="00442AEE" w:rsidRPr="00442AEE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442AEE">
        <w:rPr>
          <w:rFonts w:ascii="Arial" w:hAnsi="Arial" w:cs="Arial"/>
          <w:sz w:val="20"/>
          <w:szCs w:val="20"/>
          <w:lang w:val="en-GB"/>
        </w:rPr>
        <w:t>,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 October 1</w:t>
      </w:r>
      <w:r w:rsidRPr="00624E8C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Pr="00624E8C">
        <w:rPr>
          <w:rFonts w:ascii="Arial" w:hAnsi="Arial" w:cs="Arial"/>
          <w:sz w:val="20"/>
          <w:szCs w:val="20"/>
          <w:lang w:val="en-GB"/>
        </w:rPr>
        <w:t>, November 1</w:t>
      </w:r>
      <w:r w:rsidRPr="00624E8C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Pr="00624E8C">
        <w:rPr>
          <w:rFonts w:ascii="Arial" w:hAnsi="Arial" w:cs="Arial"/>
          <w:sz w:val="20"/>
          <w:szCs w:val="20"/>
          <w:lang w:val="en-GB"/>
        </w:rPr>
        <w:t>, December 1</w:t>
      </w:r>
      <w:r w:rsidRPr="00624E8C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Pr="00624E8C">
        <w:rPr>
          <w:rFonts w:ascii="Arial" w:hAnsi="Arial" w:cs="Arial"/>
          <w:sz w:val="20"/>
          <w:szCs w:val="20"/>
          <w:lang w:val="en-GB"/>
        </w:rPr>
        <w:t>, January 1</w:t>
      </w:r>
      <w:r w:rsidRPr="00624E8C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Pr="00624E8C">
        <w:rPr>
          <w:rFonts w:ascii="Arial" w:hAnsi="Arial" w:cs="Arial"/>
          <w:sz w:val="20"/>
          <w:szCs w:val="20"/>
          <w:lang w:val="en-GB"/>
        </w:rPr>
        <w:t>, February 1</w:t>
      </w:r>
      <w:r w:rsidRPr="00624E8C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14737E38" w14:textId="21D6072F" w:rsidR="001614FF" w:rsidRPr="009202F6" w:rsidRDefault="001614FF" w:rsidP="009202F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624E8C">
        <w:rPr>
          <w:rFonts w:ascii="Arial" w:hAnsi="Arial" w:cs="Arial"/>
          <w:sz w:val="20"/>
          <w:szCs w:val="20"/>
          <w:lang w:val="en-GB"/>
        </w:rPr>
        <w:t>Late payment of tuition fees will accrue an additional charge of OMR 15 per week.</w:t>
      </w:r>
    </w:p>
    <w:p w14:paraId="2DBDDECC" w14:textId="26B94078" w:rsidR="001614FF" w:rsidRPr="00624E8C" w:rsidRDefault="001614FF" w:rsidP="001614F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624E8C">
        <w:rPr>
          <w:rFonts w:ascii="Arial" w:hAnsi="Arial" w:cs="Arial"/>
          <w:sz w:val="20"/>
          <w:szCs w:val="20"/>
          <w:lang w:val="en-GB"/>
        </w:rPr>
        <w:t>Refused cheques will accrue an additional charge of OMR 20.</w:t>
      </w:r>
      <w:r>
        <w:rPr>
          <w:rFonts w:ascii="Arial" w:hAnsi="Arial" w:cs="Arial"/>
          <w:sz w:val="20"/>
          <w:szCs w:val="20"/>
          <w:lang w:val="en-GB"/>
        </w:rPr>
        <w:br/>
      </w:r>
    </w:p>
    <w:p w14:paraId="1FED2156" w14:textId="2B7028BF" w:rsidR="001614FF" w:rsidRPr="009202F6" w:rsidRDefault="001614FF" w:rsidP="009202F6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4E8C">
        <w:rPr>
          <w:rFonts w:ascii="Arial" w:hAnsi="Arial" w:cs="Arial"/>
          <w:sz w:val="20"/>
          <w:szCs w:val="20"/>
        </w:rPr>
        <w:t>The School reserves the right to refuse to continue to provide education to children whose parents are in arrears and will withhold references / certificates / reports in such a situation. Please note that all monthly payment cheques will be presented to the Bank o</w:t>
      </w:r>
      <w:r w:rsidR="00442AEE">
        <w:rPr>
          <w:rFonts w:ascii="Arial" w:hAnsi="Arial" w:cs="Arial"/>
          <w:sz w:val="20"/>
          <w:szCs w:val="20"/>
        </w:rPr>
        <w:t xml:space="preserve">n the first working day </w:t>
      </w:r>
      <w:r w:rsidR="00C5696C">
        <w:rPr>
          <w:rFonts w:ascii="Arial" w:hAnsi="Arial" w:cs="Arial"/>
          <w:sz w:val="20"/>
          <w:szCs w:val="20"/>
        </w:rPr>
        <w:t>in line with the date of the cheque.</w:t>
      </w:r>
      <w:r w:rsidR="009202F6">
        <w:rPr>
          <w:rFonts w:ascii="Arial" w:hAnsi="Arial" w:cs="Arial"/>
          <w:sz w:val="20"/>
          <w:szCs w:val="20"/>
        </w:rPr>
        <w:br/>
      </w:r>
    </w:p>
    <w:p w14:paraId="0600D4F2" w14:textId="5E91789D" w:rsidR="001614FF" w:rsidRPr="009202F6" w:rsidRDefault="001614FF" w:rsidP="009202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24E8C">
        <w:rPr>
          <w:rFonts w:ascii="Arial" w:hAnsi="Arial" w:cs="Arial"/>
          <w:sz w:val="20"/>
          <w:szCs w:val="20"/>
          <w:lang w:val="en-GB"/>
        </w:rPr>
        <w:t>In the event that a child leaves the school during a term, no refund of any paid or owing fees will be made. Any outstanding fees must be paid before leaving the school.</w:t>
      </w:r>
      <w:r w:rsidR="009202F6">
        <w:rPr>
          <w:rFonts w:ascii="Arial" w:hAnsi="Arial" w:cs="Arial"/>
          <w:sz w:val="20"/>
          <w:szCs w:val="20"/>
          <w:lang w:val="en-GB"/>
        </w:rPr>
        <w:br/>
      </w:r>
    </w:p>
    <w:p w14:paraId="68F5EE33" w14:textId="1B73F470" w:rsidR="001614FF" w:rsidRPr="00624E8C" w:rsidRDefault="001614FF" w:rsidP="001614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24E8C">
        <w:rPr>
          <w:rFonts w:ascii="Arial" w:hAnsi="Arial" w:cs="Arial"/>
          <w:sz w:val="20"/>
          <w:szCs w:val="20"/>
          <w:lang w:val="en-GB"/>
        </w:rPr>
        <w:t>Signing the acceptance of the Terms and Conditions renders the signatory legally liable for payment of the whole of the fees which are due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106820">
        <w:rPr>
          <w:rFonts w:ascii="Arial" w:hAnsi="Arial" w:cs="Arial"/>
          <w:sz w:val="20"/>
          <w:szCs w:val="20"/>
          <w:lang w:val="en-GB"/>
        </w:rPr>
        <w:t>eg. annual tuition fees, any additional charges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624E8C">
        <w:rPr>
          <w:rFonts w:ascii="Arial" w:hAnsi="Arial" w:cs="Arial"/>
          <w:sz w:val="20"/>
          <w:szCs w:val="20"/>
        </w:rPr>
        <w:t>Even if a company is paying the fees, that payment is still the ultimate responsibility of the parent / guardian.</w:t>
      </w:r>
      <w:r w:rsidR="00305E1C">
        <w:rPr>
          <w:rFonts w:ascii="Arial" w:hAnsi="Arial" w:cs="Arial"/>
          <w:sz w:val="20"/>
          <w:szCs w:val="20"/>
        </w:rPr>
        <w:t xml:space="preserve"> </w:t>
      </w:r>
      <w:r w:rsidR="00305E1C" w:rsidRPr="00305E1C">
        <w:rPr>
          <w:rFonts w:ascii="Arial" w:hAnsi="Arial" w:cs="Arial"/>
          <w:sz w:val="20"/>
          <w:szCs w:val="20"/>
        </w:rPr>
        <w:t xml:space="preserve">Registrations will not be deemed complete until both the </w:t>
      </w:r>
      <w:r w:rsidR="00157D61">
        <w:rPr>
          <w:rFonts w:ascii="Arial" w:hAnsi="Arial" w:cs="Arial"/>
          <w:sz w:val="20"/>
          <w:szCs w:val="20"/>
        </w:rPr>
        <w:t>Registration Form</w:t>
      </w:r>
      <w:r w:rsidR="00305E1C" w:rsidRPr="00305E1C">
        <w:rPr>
          <w:rFonts w:ascii="Arial" w:hAnsi="Arial" w:cs="Arial"/>
          <w:sz w:val="20"/>
          <w:szCs w:val="20"/>
        </w:rPr>
        <w:t xml:space="preserve"> and the Terms and Conditions 2020-2021 are completed, signed and returned to AMPS.</w:t>
      </w:r>
    </w:p>
    <w:p w14:paraId="3DC013C3" w14:textId="77777777" w:rsidR="001614FF" w:rsidRPr="00624E8C" w:rsidRDefault="001614FF" w:rsidP="001614FF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0CC2F5A3" w14:textId="77777777" w:rsidR="001614FF" w:rsidRPr="00106820" w:rsidRDefault="001614FF" w:rsidP="001614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24E8C">
        <w:rPr>
          <w:rFonts w:ascii="Arial" w:hAnsi="Arial" w:cs="Arial"/>
          <w:sz w:val="20"/>
          <w:szCs w:val="20"/>
        </w:rPr>
        <w:lastRenderedPageBreak/>
        <w:t>Fees will not be reduced as a result of absence for any reason. Neither will fees be refunded or reduced for pupils leaving before the end of a term.</w:t>
      </w:r>
    </w:p>
    <w:p w14:paraId="2E5620DE" w14:textId="77777777" w:rsidR="001614FF" w:rsidRPr="00106820" w:rsidRDefault="001614FF" w:rsidP="001614FF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3937B665" w14:textId="3EC82E8C" w:rsidR="001614FF" w:rsidRPr="00106820" w:rsidRDefault="009202F6" w:rsidP="009202F6">
      <w:pPr>
        <w:pStyle w:val="ListParagraph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>*</w:t>
      </w:r>
      <w:r w:rsidR="001614FF">
        <w:rPr>
          <w:rFonts w:ascii="Arial" w:hAnsi="Arial" w:cs="Arial"/>
          <w:color w:val="FF0000"/>
          <w:sz w:val="20"/>
          <w:szCs w:val="20"/>
          <w:lang w:val="en-GB"/>
        </w:rPr>
        <w:t xml:space="preserve"> Any additional bank charges for the use of Debit / Credit cards will be charged to the card holder.</w:t>
      </w:r>
    </w:p>
    <w:p w14:paraId="295D210D" w14:textId="77777777" w:rsidR="001614FF" w:rsidRDefault="001614FF" w:rsidP="001614FF">
      <w:pPr>
        <w:rPr>
          <w:rFonts w:ascii="Arial" w:hAnsi="Arial" w:cs="Arial"/>
          <w:sz w:val="20"/>
          <w:szCs w:val="20"/>
        </w:rPr>
      </w:pPr>
    </w:p>
    <w:p w14:paraId="78DE69C0" w14:textId="20AE962A" w:rsidR="001614FF" w:rsidRDefault="001614FF" w:rsidP="001614FF">
      <w:pPr>
        <w:rPr>
          <w:rFonts w:ascii="Arial" w:hAnsi="Arial" w:cs="Arial"/>
          <w:color w:val="FF0000"/>
          <w:sz w:val="20"/>
          <w:szCs w:val="20"/>
        </w:rPr>
      </w:pPr>
    </w:p>
    <w:p w14:paraId="078BF30C" w14:textId="77777777" w:rsidR="001614FF" w:rsidRPr="009202F6" w:rsidRDefault="001614FF" w:rsidP="001614FF">
      <w:pPr>
        <w:rPr>
          <w:rFonts w:ascii="Arial" w:hAnsi="Arial" w:cs="Arial"/>
          <w:b/>
          <w:sz w:val="21"/>
          <w:szCs w:val="21"/>
        </w:rPr>
      </w:pPr>
      <w:r w:rsidRPr="009202F6">
        <w:rPr>
          <w:rFonts w:ascii="Arial" w:hAnsi="Arial" w:cs="Arial"/>
          <w:b/>
          <w:sz w:val="21"/>
          <w:szCs w:val="21"/>
        </w:rPr>
        <w:t>Additional Fees</w:t>
      </w:r>
    </w:p>
    <w:p w14:paraId="350BB228" w14:textId="4E22677D" w:rsidR="001614FF" w:rsidRPr="00305E1C" w:rsidRDefault="001614FF" w:rsidP="00305E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624E8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Registration Fee: OMR 200.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 This is a non-refundable, non-transferable payment which secures a placement within the School. Except by prior agreement, if a place is not taken for one week after the start of the term, the School reserves the right to offer the place to another applicant.</w:t>
      </w:r>
      <w:r w:rsidR="00305E1C">
        <w:rPr>
          <w:rFonts w:ascii="Arial" w:hAnsi="Arial" w:cs="Arial"/>
          <w:sz w:val="20"/>
          <w:szCs w:val="20"/>
          <w:lang w:val="en-GB"/>
        </w:rPr>
        <w:br/>
      </w:r>
    </w:p>
    <w:p w14:paraId="520CBA29" w14:textId="0A22BC98" w:rsidR="001614FF" w:rsidRPr="00624E8C" w:rsidRDefault="001614FF" w:rsidP="009202F6">
      <w:pPr>
        <w:ind w:left="720"/>
        <w:rPr>
          <w:rFonts w:ascii="Arial" w:hAnsi="Arial" w:cs="Arial"/>
          <w:sz w:val="20"/>
          <w:szCs w:val="20"/>
        </w:rPr>
      </w:pPr>
      <w:r w:rsidRPr="00624E8C">
        <w:rPr>
          <w:rFonts w:ascii="Arial" w:hAnsi="Arial" w:cs="Arial"/>
          <w:sz w:val="20"/>
          <w:szCs w:val="20"/>
        </w:rPr>
        <w:t>For existing parents wishing to re-register their children for the following academic year, it is payable annually before the end of January 2021 at the rate of OMR 200.</w:t>
      </w:r>
    </w:p>
    <w:p w14:paraId="599D7345" w14:textId="77AB8538" w:rsidR="001614FF" w:rsidRPr="00624E8C" w:rsidRDefault="001614FF" w:rsidP="009202F6">
      <w:pPr>
        <w:ind w:left="360" w:firstLine="360"/>
        <w:rPr>
          <w:rFonts w:ascii="Arial" w:hAnsi="Arial" w:cs="Arial"/>
          <w:sz w:val="20"/>
          <w:szCs w:val="20"/>
        </w:rPr>
      </w:pPr>
      <w:r w:rsidRPr="00624E8C">
        <w:rPr>
          <w:rFonts w:ascii="Arial" w:hAnsi="Arial" w:cs="Arial"/>
          <w:sz w:val="20"/>
          <w:szCs w:val="20"/>
        </w:rPr>
        <w:t>For new children the fee is payable at the time of registration.</w:t>
      </w:r>
    </w:p>
    <w:p w14:paraId="4D8416F5" w14:textId="7E325898" w:rsidR="001614FF" w:rsidRPr="009202F6" w:rsidRDefault="001614FF" w:rsidP="009202F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624E8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School uniform: </w:t>
      </w:r>
      <w:r w:rsidRPr="00624E8C">
        <w:rPr>
          <w:rFonts w:ascii="Arial" w:hAnsi="Arial" w:cs="Arial"/>
          <w:sz w:val="20"/>
          <w:szCs w:val="20"/>
          <w:lang w:val="en-GB"/>
        </w:rPr>
        <w:t>this is available through the school reception. Items are individually priced or available as a variety of packs. POA.</w:t>
      </w:r>
      <w:r w:rsidR="009202F6">
        <w:rPr>
          <w:rFonts w:ascii="Arial" w:hAnsi="Arial" w:cs="Arial"/>
          <w:sz w:val="20"/>
          <w:szCs w:val="20"/>
          <w:lang w:val="en-GB"/>
        </w:rPr>
        <w:br/>
      </w:r>
    </w:p>
    <w:p w14:paraId="59712445" w14:textId="08D7F9F6" w:rsidR="001614FF" w:rsidRPr="00624E8C" w:rsidRDefault="009202F6" w:rsidP="00C5696C">
      <w:pPr>
        <w:pStyle w:val="ListParagrap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/>
      </w:r>
    </w:p>
    <w:p w14:paraId="64895EFB" w14:textId="77777777" w:rsidR="001614FF" w:rsidRPr="00624E8C" w:rsidRDefault="001614FF" w:rsidP="001614FF">
      <w:pPr>
        <w:pBdr>
          <w:bottom w:val="single" w:sz="6" w:space="1" w:color="auto"/>
        </w:pBd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50D9CF4" w14:textId="77777777" w:rsidR="001614FF" w:rsidRPr="00624E8C" w:rsidRDefault="001614FF" w:rsidP="001614FF">
      <w:pPr>
        <w:rPr>
          <w:rFonts w:ascii="Arial" w:hAnsi="Arial" w:cs="Arial"/>
          <w:sz w:val="20"/>
          <w:szCs w:val="20"/>
        </w:rPr>
      </w:pPr>
    </w:p>
    <w:p w14:paraId="212D96EE" w14:textId="6731AC4A" w:rsidR="009202F6" w:rsidRPr="00446886" w:rsidRDefault="001614FF" w:rsidP="009202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46886">
        <w:rPr>
          <w:rFonts w:ascii="Arial" w:hAnsi="Arial" w:cs="Arial"/>
          <w:b/>
          <w:bCs/>
          <w:sz w:val="28"/>
          <w:szCs w:val="28"/>
        </w:rPr>
        <w:t>Acceptance of Terms and Conditions</w:t>
      </w:r>
      <w:r w:rsidR="009202F6">
        <w:rPr>
          <w:rFonts w:ascii="Arial" w:hAnsi="Arial" w:cs="Arial"/>
          <w:b/>
          <w:bCs/>
          <w:sz w:val="28"/>
          <w:szCs w:val="28"/>
        </w:rPr>
        <w:t xml:space="preserve"> 2020 – 2021</w:t>
      </w:r>
    </w:p>
    <w:p w14:paraId="31A5DAB2" w14:textId="77777777" w:rsidR="001614FF" w:rsidRPr="00446886" w:rsidRDefault="001614FF" w:rsidP="00446886">
      <w:pPr>
        <w:pStyle w:val="NormalWeb"/>
        <w:spacing w:line="360" w:lineRule="auto"/>
        <w:rPr>
          <w:rFonts w:ascii="Arial" w:hAnsi="Arial" w:cs="Arial"/>
        </w:rPr>
      </w:pPr>
      <w:r w:rsidRPr="00446886">
        <w:rPr>
          <w:rFonts w:ascii="Arial" w:hAnsi="Arial" w:cs="Arial"/>
        </w:rPr>
        <w:t>I have read and accepted the terms and conditions of Al Maha Private School.</w:t>
      </w:r>
    </w:p>
    <w:p w14:paraId="42C3AC84" w14:textId="3E0D4265" w:rsidR="001614FF" w:rsidRPr="00624E8C" w:rsidRDefault="001614FF" w:rsidP="00446886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446886">
        <w:rPr>
          <w:rFonts w:ascii="Arial" w:hAnsi="Arial" w:cs="Arial"/>
        </w:rPr>
        <w:t>Registered child / children in AMPS</w:t>
      </w:r>
      <w:r w:rsidRPr="00624E8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</w:t>
      </w:r>
      <w:r w:rsidR="009202F6">
        <w:rPr>
          <w:rFonts w:ascii="Arial" w:hAnsi="Arial" w:cs="Arial"/>
          <w:sz w:val="20"/>
          <w:szCs w:val="20"/>
        </w:rPr>
        <w:t>.</w:t>
      </w:r>
      <w:r w:rsidRPr="00624E8C">
        <w:rPr>
          <w:rFonts w:ascii="Arial" w:hAnsi="Arial" w:cs="Arial"/>
          <w:sz w:val="20"/>
          <w:szCs w:val="20"/>
        </w:rPr>
        <w:t>..</w:t>
      </w:r>
    </w:p>
    <w:p w14:paraId="67BE133A" w14:textId="2DB76734" w:rsidR="001614FF" w:rsidRPr="00624E8C" w:rsidRDefault="001614FF" w:rsidP="00446886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446886">
        <w:rPr>
          <w:rFonts w:ascii="Arial" w:hAnsi="Arial" w:cs="Arial"/>
        </w:rPr>
        <w:t>Parent</w:t>
      </w:r>
      <w:r w:rsidRPr="00624E8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446886">
        <w:rPr>
          <w:rFonts w:ascii="Arial" w:hAnsi="Arial" w:cs="Arial"/>
          <w:sz w:val="20"/>
          <w:szCs w:val="20"/>
        </w:rPr>
        <w:t>…</w:t>
      </w:r>
      <w:r w:rsidRPr="00624E8C">
        <w:rPr>
          <w:rFonts w:ascii="Arial" w:hAnsi="Arial" w:cs="Arial"/>
          <w:sz w:val="20"/>
          <w:szCs w:val="20"/>
        </w:rPr>
        <w:t>…</w:t>
      </w:r>
      <w:r w:rsidR="00263816">
        <w:rPr>
          <w:rFonts w:ascii="Arial" w:hAnsi="Arial" w:cs="Arial"/>
          <w:sz w:val="20"/>
          <w:szCs w:val="20"/>
        </w:rPr>
        <w:t>…….</w:t>
      </w:r>
    </w:p>
    <w:p w14:paraId="1AC57DAE" w14:textId="22682005" w:rsidR="001614FF" w:rsidRPr="00624E8C" w:rsidRDefault="001614FF" w:rsidP="009202F6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446886">
        <w:rPr>
          <w:rFonts w:ascii="Arial" w:hAnsi="Arial" w:cs="Arial"/>
        </w:rPr>
        <w:t xml:space="preserve">Signature </w:t>
      </w:r>
      <w:r w:rsidRPr="00624E8C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202F6">
        <w:rPr>
          <w:rFonts w:ascii="Arial" w:hAnsi="Arial" w:cs="Arial"/>
          <w:sz w:val="20"/>
          <w:szCs w:val="20"/>
        </w:rPr>
        <w:t xml:space="preserve">  </w:t>
      </w:r>
      <w:r w:rsidRPr="00446886">
        <w:rPr>
          <w:rFonts w:ascii="Arial" w:hAnsi="Arial" w:cs="Arial"/>
        </w:rPr>
        <w:t>Date</w:t>
      </w:r>
      <w:r>
        <w:rPr>
          <w:rFonts w:ascii="Arial" w:hAnsi="Arial" w:cs="Arial"/>
          <w:sz w:val="20"/>
          <w:szCs w:val="20"/>
        </w:rPr>
        <w:t xml:space="preserve"> ……………………………</w:t>
      </w:r>
      <w:r w:rsidR="009202F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</w:t>
      </w:r>
      <w:r w:rsidR="00263816">
        <w:rPr>
          <w:rFonts w:ascii="Arial" w:hAnsi="Arial" w:cs="Arial"/>
          <w:sz w:val="20"/>
          <w:szCs w:val="20"/>
        </w:rPr>
        <w:t>.</w:t>
      </w:r>
    </w:p>
    <w:bookmarkEnd w:id="1"/>
    <w:p w14:paraId="6C497FE7" w14:textId="25733BFB" w:rsidR="00C64B6C" w:rsidRDefault="00C64B6C" w:rsidP="001614FF">
      <w:pPr>
        <w:jc w:val="center"/>
        <w:rPr>
          <w:rFonts w:ascii="Raleway" w:hAnsi="Raleway" w:cs="Raleway"/>
          <w:color w:val="FFFF00"/>
          <w:sz w:val="24"/>
          <w:szCs w:val="24"/>
        </w:rPr>
      </w:pPr>
    </w:p>
    <w:p w14:paraId="5ABCB1FC" w14:textId="77777777" w:rsidR="00C64B6C" w:rsidRDefault="00C64B6C">
      <w:pPr>
        <w:widowControl w:val="0"/>
        <w:autoSpaceDE w:val="0"/>
        <w:autoSpaceDN w:val="0"/>
        <w:adjustRightInd w:val="0"/>
        <w:spacing w:before="26" w:after="0" w:line="240" w:lineRule="auto"/>
        <w:ind w:left="1458" w:right="1309"/>
        <w:jc w:val="center"/>
        <w:rPr>
          <w:rFonts w:ascii="Raleway" w:hAnsi="Raleway" w:cs="Raleway"/>
          <w:color w:val="FFFF00"/>
          <w:sz w:val="24"/>
          <w:szCs w:val="24"/>
        </w:rPr>
      </w:pPr>
    </w:p>
    <w:p w14:paraId="1404EE23" w14:textId="77777777" w:rsidR="00C64B6C" w:rsidRDefault="00C64B6C">
      <w:pPr>
        <w:widowControl w:val="0"/>
        <w:autoSpaceDE w:val="0"/>
        <w:autoSpaceDN w:val="0"/>
        <w:adjustRightInd w:val="0"/>
        <w:spacing w:before="26" w:after="0" w:line="240" w:lineRule="auto"/>
        <w:ind w:left="1458" w:right="1309"/>
        <w:jc w:val="center"/>
        <w:rPr>
          <w:rFonts w:ascii="Raleway" w:hAnsi="Raleway" w:cs="Raleway"/>
          <w:color w:val="FFFF00"/>
          <w:sz w:val="24"/>
          <w:szCs w:val="24"/>
        </w:rPr>
      </w:pPr>
    </w:p>
    <w:sectPr w:rsidR="00C64B6C" w:rsidSect="009202F6">
      <w:footerReference w:type="default" r:id="rId8"/>
      <w:type w:val="continuous"/>
      <w:pgSz w:w="11906" w:h="16838" w:code="9"/>
      <w:pgMar w:top="720" w:right="720" w:bottom="284" w:left="720" w:header="720" w:footer="107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C7DE3" w14:textId="77777777" w:rsidR="008651DC" w:rsidRDefault="008651DC" w:rsidP="009F410B">
      <w:pPr>
        <w:spacing w:after="0" w:line="240" w:lineRule="auto"/>
      </w:pPr>
      <w:r>
        <w:separator/>
      </w:r>
    </w:p>
  </w:endnote>
  <w:endnote w:type="continuationSeparator" w:id="0">
    <w:p w14:paraId="0D103E6A" w14:textId="77777777" w:rsidR="008651DC" w:rsidRDefault="008651DC" w:rsidP="009F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C17C2" w14:textId="78F3DA60" w:rsidR="00F07EF7" w:rsidRDefault="009202F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9202F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F313094" wp14:editId="6BA62667">
              <wp:simplePos x="0" y="0"/>
              <wp:positionH relativeFrom="page">
                <wp:posOffset>-15240</wp:posOffset>
              </wp:positionH>
              <wp:positionV relativeFrom="page">
                <wp:posOffset>9708515</wp:posOffset>
              </wp:positionV>
              <wp:extent cx="7559675" cy="6654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665480"/>
                      </a:xfrm>
                      <a:prstGeom prst="rect">
                        <a:avLst/>
                      </a:prstGeom>
                      <a:solidFill>
                        <a:srgbClr val="0329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3A571" w14:textId="77777777" w:rsidR="009202F6" w:rsidRPr="006746CB" w:rsidRDefault="009202F6" w:rsidP="009202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6" w:after="0" w:line="240" w:lineRule="auto"/>
                            <w:ind w:left="1458" w:right="1309"/>
                            <w:jc w:val="center"/>
                            <w:rPr>
                              <w:rFonts w:ascii="Raleway" w:hAnsi="Raleway" w:cs="Raleway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95E836B" w14:textId="77777777" w:rsidR="009202F6" w:rsidRPr="006746CB" w:rsidRDefault="009202F6" w:rsidP="009202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6" w:after="0" w:line="240" w:lineRule="auto"/>
                            <w:ind w:right="-4"/>
                            <w:jc w:val="center"/>
                            <w:rPr>
                              <w:rFonts w:ascii="Raleway" w:hAnsi="Raleway" w:cs="Raleway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aleway" w:hAnsi="Raleway" w:cs="Raleway"/>
                              <w:color w:val="FFFFFF"/>
                              <w:sz w:val="24"/>
                              <w:szCs w:val="24"/>
                            </w:rPr>
                            <w:t xml:space="preserve">CR No.: 1281570, P.O. Box: 873, Postal Code 133, Al </w:t>
                          </w:r>
                          <w:proofErr w:type="spellStart"/>
                          <w:r>
                            <w:rPr>
                              <w:rFonts w:ascii="Raleway" w:hAnsi="Raleway" w:cs="Raleway"/>
                              <w:color w:val="FFFFFF"/>
                              <w:sz w:val="24"/>
                              <w:szCs w:val="24"/>
                            </w:rPr>
                            <w:t>Khuwair</w:t>
                          </w:r>
                          <w:proofErr w:type="spellEnd"/>
                          <w:r>
                            <w:rPr>
                              <w:rFonts w:ascii="Raleway" w:hAnsi="Raleway" w:cs="Raleway"/>
                              <w:color w:val="FFFFFF"/>
                              <w:sz w:val="24"/>
                              <w:szCs w:val="24"/>
                            </w:rPr>
                            <w:t>, Muscat, Sultanate of Oman</w:t>
                          </w:r>
                        </w:p>
                        <w:p w14:paraId="29E46F86" w14:textId="77777777" w:rsidR="009202F6" w:rsidRPr="006746CB" w:rsidRDefault="009202F6" w:rsidP="009202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" w:after="0" w:line="240" w:lineRule="auto"/>
                            <w:ind w:left="2491" w:right="2342"/>
                            <w:jc w:val="center"/>
                            <w:rPr>
                              <w:rFonts w:ascii="Raleway" w:hAnsi="Raleway" w:cs="Raleway"/>
                              <w:color w:val="FFFFFF"/>
                              <w:sz w:val="24"/>
                              <w:szCs w:val="24"/>
                            </w:rPr>
                          </w:pPr>
                          <w:r w:rsidRPr="006746CB">
                            <w:rPr>
                              <w:rFonts w:ascii="Raleway" w:hAnsi="Raleway" w:cs="Raleway"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>E</w:t>
                          </w:r>
                          <w:hyperlink r:id="rId1" w:history="1">
                            <w:r w:rsidRPr="006746CB">
                              <w:rPr>
                                <w:rFonts w:ascii="Raleway" w:hAnsi="Raleway" w:cs="Raleway"/>
                                <w:color w:val="FFFFFF"/>
                                <w:sz w:val="24"/>
                                <w:szCs w:val="24"/>
                              </w:rPr>
                              <w:t>-mail: admissions@almaha.edu.om</w:t>
                            </w:r>
                            <w:r w:rsidRPr="006746CB">
                              <w:rPr>
                                <w:rFonts w:ascii="Raleway" w:hAnsi="Raleway" w:cs="Raleway"/>
                                <w:color w:val="FFFFF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</w:hyperlink>
                          <w:r w:rsidRPr="006746CB">
                            <w:rPr>
                              <w:rFonts w:ascii="Raleway" w:hAnsi="Raleway" w:cs="Raleway"/>
                              <w:color w:val="FFFFFF"/>
                              <w:spacing w:val="-27"/>
                              <w:sz w:val="24"/>
                              <w:szCs w:val="24"/>
                            </w:rPr>
                            <w:t>T</w:t>
                          </w:r>
                          <w:r w:rsidRPr="006746CB">
                            <w:rPr>
                              <w:rFonts w:ascii="Raleway" w:hAnsi="Raleway" w:cs="Raleway"/>
                              <w:color w:val="FFFFFF"/>
                              <w:sz w:val="24"/>
                              <w:szCs w:val="24"/>
                            </w:rPr>
                            <w:t>el.: +968 2495-0422</w:t>
                          </w:r>
                        </w:p>
                        <w:p w14:paraId="3B971E61" w14:textId="77777777" w:rsidR="009202F6" w:rsidRDefault="009202F6" w:rsidP="009202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313094" id="Rectangle 1" o:spid="_x0000_s1026" style="position:absolute;left:0;text-align:left;margin-left:-1.2pt;margin-top:764.45pt;width:595.25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0N9gEAAM8DAAAOAAAAZHJzL2Uyb0RvYy54bWysU8tu2zAQvBfoPxC817JdP2LBchAkSFEg&#10;bYKm/QCKoiSiFJdd0pbcr++Schy3vRW9EFzO7nBnuNxeD51hB4Vegy34bDLlTFkJlbZNwb99vX93&#10;xZkPwlbCgFUFPyrPr3dv32x7l6s5tGAqhYxIrM97V/A2BJdnmZet6oSfgFOWwBqwE4FCbLIKRU/s&#10;ncnm0+kq6wErhyCV93R6N4J8l/jrWsnwWNdeBWYKTr2FtGJay7hmu63IGxSu1fLUhviHLjqhLV16&#10;proTQbA96r+oOi0RPNRhIqHLoK61VEkDqZlN/1Dz3AqnkhYyx7uzTf7/0crPhydkuir4nDMrOnqi&#10;L2SasI1RbBbt6Z3PKevZPWEU6N0DyO+egOw3JAaecljZf4KKaMQ+QLJkqLGLlSSWDcn549l5NQQm&#10;6XC9XG5W6yVnkrDVarm4Sk+Tifyl2qEPHxR0LG4KjtRkYheHBx9iNyJ/SUltgtHVvTYmBdiUtwbZ&#10;QcQpeD/fLG6iMirxl2nGxmQLsWyE40mSGZWNVoShHAiMckuojiQYYZwq+gW0aQF/ctbTRBXc/9gL&#10;VJyZj5aebDNbLOIIpmCxXM8pwEukvESElURV8MDZuL0N49juHeqmpZtmSb+FGzK61smD165OfdPU&#10;JJ2nCY9jeRmnrNd/uPsFAAD//wMAUEsDBBQABgAIAAAAIQCJsW9P4gAAAA0BAAAPAAAAZHJzL2Rv&#10;d25yZXYueG1sTI/LTsMwEEX3SPyDNUjsWicptCHEqQoIVAm66OMD3HiaBOJxFLtt+PtOV7Cbx9Gd&#10;M/l8sK04Ye8bRwricQQCqXSmoUrBbvs+SkH4oMno1hEq+EUP8+L2JteZcWda42kTKsEh5DOtoA6h&#10;y6T0ZY1W+7HrkHh3cL3Vgdu+kqbXZw63rUyiaCqtbogv1LrD1xrLn83Rckr1uVxVX7NFIpcvH2FX&#10;fh/eaKvU/d2weAYRcAh/MFz1WR0Kdtq7IxkvWgWj5IFJnj8m6ROIKxGnaQxiz9V0MpmBLHL5/4vi&#10;AgAA//8DAFBLAQItABQABgAIAAAAIQC2gziS/gAAAOEBAAATAAAAAAAAAAAAAAAAAAAAAABbQ29u&#10;dGVudF9UeXBlc10ueG1sUEsBAi0AFAAGAAgAAAAhADj9If/WAAAAlAEAAAsAAAAAAAAAAAAAAAAA&#10;LwEAAF9yZWxzLy5yZWxzUEsBAi0AFAAGAAgAAAAhAER8bQ32AQAAzwMAAA4AAAAAAAAAAAAAAAAA&#10;LgIAAGRycy9lMm9Eb2MueG1sUEsBAi0AFAAGAAgAAAAhAImxb0/iAAAADQEAAA8AAAAAAAAAAAAA&#10;AAAAUAQAAGRycy9kb3ducmV2LnhtbFBLBQYAAAAABAAEAPMAAABfBQAAAAA=&#10;" o:allowincell="f" fillcolor="#03294a" stroked="f">
              <v:path arrowok="t"/>
              <v:textbox>
                <w:txbxContent>
                  <w:p w14:paraId="0533A571" w14:textId="77777777" w:rsidR="009202F6" w:rsidRPr="006746CB" w:rsidRDefault="009202F6" w:rsidP="009202F6">
                    <w:pPr>
                      <w:widowControl w:val="0"/>
                      <w:autoSpaceDE w:val="0"/>
                      <w:autoSpaceDN w:val="0"/>
                      <w:adjustRightInd w:val="0"/>
                      <w:spacing w:before="26" w:after="0" w:line="240" w:lineRule="auto"/>
                      <w:ind w:left="1458" w:right="1309"/>
                      <w:jc w:val="center"/>
                      <w:rPr>
                        <w:rFonts w:ascii="Raleway" w:hAnsi="Raleway" w:cs="Raleway"/>
                        <w:color w:val="FFFFFF"/>
                        <w:sz w:val="16"/>
                        <w:szCs w:val="16"/>
                      </w:rPr>
                    </w:pPr>
                  </w:p>
                  <w:p w14:paraId="295E836B" w14:textId="77777777" w:rsidR="009202F6" w:rsidRPr="006746CB" w:rsidRDefault="009202F6" w:rsidP="009202F6">
                    <w:pPr>
                      <w:widowControl w:val="0"/>
                      <w:autoSpaceDE w:val="0"/>
                      <w:autoSpaceDN w:val="0"/>
                      <w:adjustRightInd w:val="0"/>
                      <w:spacing w:before="26" w:after="0" w:line="240" w:lineRule="auto"/>
                      <w:ind w:right="-4"/>
                      <w:jc w:val="center"/>
                      <w:rPr>
                        <w:rFonts w:ascii="Raleway" w:hAnsi="Raleway" w:cs="Raleway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Raleway" w:hAnsi="Raleway" w:cs="Raleway"/>
                        <w:color w:val="FFFFFF"/>
                        <w:sz w:val="24"/>
                        <w:szCs w:val="24"/>
                      </w:rPr>
                      <w:t>CR No.: 1281570, P.O. Box: 873, Postal Code 133, Al Khuwair, Muscat, Sultanate of Oman</w:t>
                    </w:r>
                  </w:p>
                  <w:p w14:paraId="29E46F86" w14:textId="77777777" w:rsidR="009202F6" w:rsidRPr="006746CB" w:rsidRDefault="009202F6" w:rsidP="009202F6">
                    <w:pPr>
                      <w:widowControl w:val="0"/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2491" w:right="2342"/>
                      <w:jc w:val="center"/>
                      <w:rPr>
                        <w:rFonts w:ascii="Raleway" w:hAnsi="Raleway" w:cs="Raleway"/>
                        <w:color w:val="FFFFFF"/>
                        <w:sz w:val="24"/>
                        <w:szCs w:val="24"/>
                      </w:rPr>
                    </w:pPr>
                    <w:r w:rsidRPr="006746CB">
                      <w:rPr>
                        <w:rFonts w:ascii="Raleway" w:hAnsi="Raleway" w:cs="Raleway"/>
                        <w:color w:val="FFFFFF"/>
                        <w:spacing w:val="-4"/>
                        <w:sz w:val="24"/>
                        <w:szCs w:val="24"/>
                      </w:rPr>
                      <w:t>E</w:t>
                    </w:r>
                    <w:hyperlink r:id="rId2" w:history="1">
                      <w:r w:rsidRPr="006746CB">
                        <w:rPr>
                          <w:rFonts w:ascii="Raleway" w:hAnsi="Raleway" w:cs="Raleway"/>
                          <w:color w:val="FFFFFF"/>
                          <w:sz w:val="24"/>
                          <w:szCs w:val="24"/>
                        </w:rPr>
                        <w:t>-mail: admissions@almaha.edu.om</w:t>
                      </w:r>
                      <w:r w:rsidRPr="006746CB">
                        <w:rPr>
                          <w:rFonts w:ascii="Raleway" w:hAnsi="Raleway" w:cs="Raleway"/>
                          <w:color w:val="FFFFF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</w:hyperlink>
                    <w:r w:rsidRPr="006746CB">
                      <w:rPr>
                        <w:rFonts w:ascii="Raleway" w:hAnsi="Raleway" w:cs="Raleway"/>
                        <w:color w:val="FFFFFF"/>
                        <w:spacing w:val="-27"/>
                        <w:sz w:val="24"/>
                        <w:szCs w:val="24"/>
                      </w:rPr>
                      <w:t>T</w:t>
                    </w:r>
                    <w:r w:rsidRPr="006746CB">
                      <w:rPr>
                        <w:rFonts w:ascii="Raleway" w:hAnsi="Raleway" w:cs="Raleway"/>
                        <w:color w:val="FFFFFF"/>
                        <w:sz w:val="24"/>
                        <w:szCs w:val="24"/>
                      </w:rPr>
                      <w:t>el.: +968 2495-0422</w:t>
                    </w:r>
                  </w:p>
                  <w:p w14:paraId="3B971E61" w14:textId="77777777" w:rsidR="009202F6" w:rsidRDefault="009202F6" w:rsidP="009202F6"/>
                </w:txbxContent>
              </v:textbox>
              <w10:wrap anchorx="page" anchory="page"/>
            </v:rect>
          </w:pict>
        </mc:Fallback>
      </mc:AlternateContent>
    </w:r>
    <w:r w:rsidR="00F07EF7">
      <w:rPr>
        <w:color w:val="8496B0" w:themeColor="text2" w:themeTint="99"/>
        <w:spacing w:val="60"/>
        <w:sz w:val="24"/>
        <w:szCs w:val="24"/>
      </w:rPr>
      <w:t>Page</w:t>
    </w:r>
    <w:r w:rsidR="00F07EF7">
      <w:rPr>
        <w:color w:val="8496B0" w:themeColor="text2" w:themeTint="99"/>
        <w:sz w:val="24"/>
        <w:szCs w:val="24"/>
      </w:rPr>
      <w:t xml:space="preserve"> </w:t>
    </w:r>
    <w:r w:rsidR="00F07EF7">
      <w:rPr>
        <w:color w:val="323E4F" w:themeColor="text2" w:themeShade="BF"/>
        <w:sz w:val="24"/>
        <w:szCs w:val="24"/>
      </w:rPr>
      <w:fldChar w:fldCharType="begin"/>
    </w:r>
    <w:r w:rsidR="00F07EF7">
      <w:rPr>
        <w:color w:val="323E4F" w:themeColor="text2" w:themeShade="BF"/>
        <w:sz w:val="24"/>
        <w:szCs w:val="24"/>
      </w:rPr>
      <w:instrText xml:space="preserve"> PAGE   \* MERGEFORMAT </w:instrText>
    </w:r>
    <w:r w:rsidR="00F07EF7">
      <w:rPr>
        <w:color w:val="323E4F" w:themeColor="text2" w:themeShade="BF"/>
        <w:sz w:val="24"/>
        <w:szCs w:val="24"/>
      </w:rPr>
      <w:fldChar w:fldCharType="separate"/>
    </w:r>
    <w:r w:rsidR="00F07EF7">
      <w:rPr>
        <w:noProof/>
        <w:color w:val="323E4F" w:themeColor="text2" w:themeShade="BF"/>
        <w:sz w:val="24"/>
        <w:szCs w:val="24"/>
      </w:rPr>
      <w:t>1</w:t>
    </w:r>
    <w:r w:rsidR="00F07EF7">
      <w:rPr>
        <w:color w:val="323E4F" w:themeColor="text2" w:themeShade="BF"/>
        <w:sz w:val="24"/>
        <w:szCs w:val="24"/>
      </w:rPr>
      <w:fldChar w:fldCharType="end"/>
    </w:r>
    <w:r w:rsidR="00F07EF7">
      <w:rPr>
        <w:color w:val="323E4F" w:themeColor="text2" w:themeShade="BF"/>
        <w:sz w:val="24"/>
        <w:szCs w:val="24"/>
      </w:rPr>
      <w:t xml:space="preserve"> | </w:t>
    </w:r>
    <w:r w:rsidR="00F07EF7">
      <w:rPr>
        <w:color w:val="323E4F" w:themeColor="text2" w:themeShade="BF"/>
        <w:sz w:val="24"/>
        <w:szCs w:val="24"/>
      </w:rPr>
      <w:fldChar w:fldCharType="begin"/>
    </w:r>
    <w:r w:rsidR="00F07EF7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F07EF7">
      <w:rPr>
        <w:color w:val="323E4F" w:themeColor="text2" w:themeShade="BF"/>
        <w:sz w:val="24"/>
        <w:szCs w:val="24"/>
      </w:rPr>
      <w:fldChar w:fldCharType="separate"/>
    </w:r>
    <w:r w:rsidR="00F07EF7">
      <w:rPr>
        <w:noProof/>
        <w:color w:val="323E4F" w:themeColor="text2" w:themeShade="BF"/>
        <w:sz w:val="24"/>
        <w:szCs w:val="24"/>
      </w:rPr>
      <w:t>1</w:t>
    </w:r>
    <w:r w:rsidR="00F07EF7">
      <w:rPr>
        <w:color w:val="323E4F" w:themeColor="text2" w:themeShade="BF"/>
        <w:sz w:val="24"/>
        <w:szCs w:val="24"/>
      </w:rPr>
      <w:fldChar w:fldCharType="end"/>
    </w:r>
  </w:p>
  <w:p w14:paraId="0AB42CD5" w14:textId="56CC5C0A" w:rsidR="00D43680" w:rsidRDefault="009202F6">
    <w:pPr>
      <w:pStyle w:val="Footer"/>
    </w:pPr>
    <w:r w:rsidRPr="009202F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8A2BF38" wp14:editId="4604D028">
              <wp:simplePos x="0" y="0"/>
              <wp:positionH relativeFrom="page">
                <wp:posOffset>-15240</wp:posOffset>
              </wp:positionH>
              <wp:positionV relativeFrom="page">
                <wp:posOffset>10433685</wp:posOffset>
              </wp:positionV>
              <wp:extent cx="7559675" cy="1143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114300"/>
                      </a:xfrm>
                      <a:prstGeom prst="rect">
                        <a:avLst/>
                      </a:prstGeom>
                      <a:solidFill>
                        <a:srgbClr val="8114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5412B9" id="Rectangle 2" o:spid="_x0000_s1026" style="position:absolute;margin-left:-1.2pt;margin-top:821.55pt;width:595.2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VZ8AEAAMQDAAAOAAAAZHJzL2Uyb0RvYy54bWysU1Fv0zAQfkfiP1h+p0lKu25R0wk2DSEN&#10;mNj4AY7jJBaOz5zdpuXXc3a6Utgb4sXy+e6+3Pfdl/X1fjBsp9BrsBUvZjlnykpotO0q/u3p7s0l&#10;Zz4I2wgDVlX8oDy/3rx+tR5dqebQg2kUMgKxvhxdxfsQXJllXvZqEH4GTllKtoCDCBRilzUoRkIf&#10;TDbP84tsBGwcglTe0+vtlOSbhN+2SoYvbetVYKbiNFtIJ6azjme2WYuyQ+F6LY9jiH+YYhDa0kdP&#10;ULciCLZF/QJq0BLBQxtmEoYM2lZLlTgQmyL/i81jL5xKXEgc704y+f8HKz/vHpDphnbHmRUDregr&#10;iSZsZxSbR3lG50uqenQPGAl6dw/yu6dE9kcmBp5qWD1+goZgxDZAkmTf4hA7iSzbJ+UPJ+XVPjBJ&#10;j6vl8upiteRMUq4oFm/ztJpMlM/dDn34oGBg8VJxpCETutjd+xCnEeVzSRoTjG7utDEpwK6+Mch2&#10;glxwSfDz95EZtfjzMmNjsYXYNqXjS6IZmU1S1NAciCXCZCWyPl16wJ+cjWSjivsfW4GKM/PR0p6u&#10;isUi+i4Fi+VqTgGeZ+rzjLCSoCoeOJuuN2Hy6tah7nr6UpFIW3hH6rY6EY/KT1MdhyWrJHJHW0cv&#10;nsep6vfPt/kFAAD//wMAUEsDBBQABgAIAAAAIQD+nJRB3gAAAA0BAAAPAAAAZHJzL2Rvd25yZXYu&#10;eG1sTI/BboMwEETvlfoP1lbqLTEOEUUUE0WVcuoptFKuG3AxCl4j2wHy9zWn9rY7M5p9Wx4WM7BJ&#10;Od9bkiC2CTBFjW176iR8f502OTAfkFocLCkJD+XhUD0/lVi0dqazmurQsVhCvkAJOoSx4Nw3Whn0&#10;Wzsqit6PdQZDXF3HW4dzLDcD3yVJxg32FC9oHNWHVs2tvhsJSXp5ONS3eprf0jxz/el8/BRSvr4s&#10;x3dgQS3hLwwrfkSHKjJd7Z1azwYJm90+JqOe7VMBbE2IPI/TddUyIYBXJf//RfULAAD//wMAUEsB&#10;Ai0AFAAGAAgAAAAhALaDOJL+AAAA4QEAABMAAAAAAAAAAAAAAAAAAAAAAFtDb250ZW50X1R5cGVz&#10;XS54bWxQSwECLQAUAAYACAAAACEAOP0h/9YAAACUAQAACwAAAAAAAAAAAAAAAAAvAQAAX3JlbHMv&#10;LnJlbHNQSwECLQAUAAYACAAAACEADfHFWfABAADEAwAADgAAAAAAAAAAAAAAAAAuAgAAZHJzL2Uy&#10;b0RvYy54bWxQSwECLQAUAAYACAAAACEA/pyUQd4AAAANAQAADwAAAAAAAAAAAAAAAABKBAAAZHJz&#10;L2Rvd25yZXYueG1sUEsFBgAAAAAEAAQA8wAAAFUFAAAAAA==&#10;" o:allowincell="f" fillcolor="#81142b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A3300" w14:textId="77777777" w:rsidR="008651DC" w:rsidRDefault="008651DC" w:rsidP="009F410B">
      <w:pPr>
        <w:spacing w:after="0" w:line="240" w:lineRule="auto"/>
      </w:pPr>
      <w:r>
        <w:separator/>
      </w:r>
    </w:p>
  </w:footnote>
  <w:footnote w:type="continuationSeparator" w:id="0">
    <w:p w14:paraId="002D25E7" w14:textId="77777777" w:rsidR="008651DC" w:rsidRDefault="008651DC" w:rsidP="009F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C7D48"/>
    <w:multiLevelType w:val="multilevel"/>
    <w:tmpl w:val="1F90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81BBF"/>
    <w:multiLevelType w:val="hybridMultilevel"/>
    <w:tmpl w:val="9BFE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DBE"/>
    <w:multiLevelType w:val="hybridMultilevel"/>
    <w:tmpl w:val="6CF222E0"/>
    <w:lvl w:ilvl="0" w:tplc="05D282D4">
      <w:start w:val="4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92ACB"/>
    <w:multiLevelType w:val="hybridMultilevel"/>
    <w:tmpl w:val="9DAC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E69D7"/>
    <w:multiLevelType w:val="hybridMultilevel"/>
    <w:tmpl w:val="EB0CD17A"/>
    <w:lvl w:ilvl="0" w:tplc="E2CAECC6">
      <w:start w:val="4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98"/>
    <w:rsid w:val="00000B35"/>
    <w:rsid w:val="00013D30"/>
    <w:rsid w:val="00071EC5"/>
    <w:rsid w:val="000A0465"/>
    <w:rsid w:val="00157D61"/>
    <w:rsid w:val="001614FF"/>
    <w:rsid w:val="001B7B80"/>
    <w:rsid w:val="00205605"/>
    <w:rsid w:val="00210836"/>
    <w:rsid w:val="00211A28"/>
    <w:rsid w:val="00263816"/>
    <w:rsid w:val="002F4EF2"/>
    <w:rsid w:val="00305E1C"/>
    <w:rsid w:val="00381DCA"/>
    <w:rsid w:val="00441747"/>
    <w:rsid w:val="00442AEE"/>
    <w:rsid w:val="00446886"/>
    <w:rsid w:val="00494F23"/>
    <w:rsid w:val="00520642"/>
    <w:rsid w:val="005322B0"/>
    <w:rsid w:val="00563FDB"/>
    <w:rsid w:val="006341ED"/>
    <w:rsid w:val="006746CB"/>
    <w:rsid w:val="00684CB1"/>
    <w:rsid w:val="00696EFC"/>
    <w:rsid w:val="006E5DD3"/>
    <w:rsid w:val="00712741"/>
    <w:rsid w:val="007C583B"/>
    <w:rsid w:val="007C60DD"/>
    <w:rsid w:val="007E1CF7"/>
    <w:rsid w:val="00827F5B"/>
    <w:rsid w:val="00862BDF"/>
    <w:rsid w:val="008651DC"/>
    <w:rsid w:val="00883C98"/>
    <w:rsid w:val="009202F6"/>
    <w:rsid w:val="009C425B"/>
    <w:rsid w:val="009F410B"/>
    <w:rsid w:val="00AD3698"/>
    <w:rsid w:val="00BF6F6F"/>
    <w:rsid w:val="00C54F83"/>
    <w:rsid w:val="00C5696C"/>
    <w:rsid w:val="00C64B6C"/>
    <w:rsid w:val="00D04052"/>
    <w:rsid w:val="00D43680"/>
    <w:rsid w:val="00D81940"/>
    <w:rsid w:val="00DA7D70"/>
    <w:rsid w:val="00E7422E"/>
    <w:rsid w:val="00E9249F"/>
    <w:rsid w:val="00E92FE2"/>
    <w:rsid w:val="00E931EF"/>
    <w:rsid w:val="00F07EF7"/>
    <w:rsid w:val="00F16FD7"/>
    <w:rsid w:val="00F72886"/>
    <w:rsid w:val="00FB4636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BBC7A"/>
  <w14:defaultImageDpi w14:val="0"/>
  <w15:docId w15:val="{DD605B6D-2EFB-43DD-9142-DB19E3DA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63F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10B"/>
  </w:style>
  <w:style w:type="paragraph" w:styleId="Footer">
    <w:name w:val="footer"/>
    <w:basedOn w:val="Normal"/>
    <w:link w:val="FooterChar"/>
    <w:uiPriority w:val="99"/>
    <w:unhideWhenUsed/>
    <w:rsid w:val="009F4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10B"/>
  </w:style>
  <w:style w:type="table" w:styleId="TableGrid">
    <w:name w:val="Table Grid"/>
    <w:basedOn w:val="TableNormal"/>
    <w:uiPriority w:val="39"/>
    <w:rsid w:val="002F4EF2"/>
    <w:rPr>
      <w:rFonts w:eastAsia="Calibri" w:cs="Arial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04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A046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A0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ssions@almaha.edu.om" TargetMode="External"/><Relationship Id="rId1" Type="http://schemas.openxmlformats.org/officeDocument/2006/relationships/hyperlink" Target="mailto:admissions@almaha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MahaPrivateSchool</dc:creator>
  <cp:keywords/>
  <dc:description/>
  <cp:lastModifiedBy>Andrew Taylor</cp:lastModifiedBy>
  <cp:revision>2</cp:revision>
  <cp:lastPrinted>2020-05-31T10:37:00Z</cp:lastPrinted>
  <dcterms:created xsi:type="dcterms:W3CDTF">2020-09-08T12:53:00Z</dcterms:created>
  <dcterms:modified xsi:type="dcterms:W3CDTF">2020-09-08T12:53:00Z</dcterms:modified>
</cp:coreProperties>
</file>